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6E" w:rsidRDefault="00E4166E">
      <w:pPr>
        <w:rPr>
          <w:b/>
          <w:sz w:val="36"/>
        </w:rPr>
      </w:pPr>
      <w:r>
        <w:rPr>
          <w:b/>
          <w:sz w:val="36"/>
        </w:rPr>
        <w:t>Magellan Health Services EAP Report</w:t>
      </w:r>
    </w:p>
    <w:p w:rsidR="007A7996" w:rsidRPr="00FC377B" w:rsidRDefault="000F49DD">
      <w:pPr>
        <w:rPr>
          <w:b/>
          <w:sz w:val="36"/>
        </w:rPr>
      </w:pPr>
      <w:r w:rsidRPr="00FC377B">
        <w:rPr>
          <w:b/>
          <w:sz w:val="36"/>
        </w:rPr>
        <w:t>EAP Glossary</w:t>
      </w:r>
    </w:p>
    <w:p w:rsidR="00734FC9" w:rsidRPr="00FC377B" w:rsidRDefault="00734FC9">
      <w:pPr>
        <w:rPr>
          <w:b/>
        </w:rPr>
      </w:pPr>
      <w:r w:rsidRPr="00FC377B">
        <w:rPr>
          <w:b/>
        </w:rPr>
        <w:t>General:</w:t>
      </w:r>
    </w:p>
    <w:p w:rsidR="00734FC9" w:rsidRPr="00FC377B" w:rsidRDefault="00734FC9">
      <w:pPr>
        <w:rPr>
          <w:b/>
        </w:rPr>
      </w:pPr>
      <w:r w:rsidRPr="00FC377B">
        <w:rPr>
          <w:b/>
        </w:rPr>
        <w:t xml:space="preserve">Book of Business/Magellan Norm: </w:t>
      </w:r>
    </w:p>
    <w:p w:rsidR="009F7AC5" w:rsidRPr="00FC377B" w:rsidRDefault="00734FC9">
      <w:r w:rsidRPr="00FC377B">
        <w:t>This measure provides a comparison point based on Magellan’s group of customers</w:t>
      </w:r>
      <w:r w:rsidR="00C82FB1" w:rsidRPr="00FC377B">
        <w:t>. For measures other than work</w:t>
      </w:r>
      <w:r w:rsidR="007E62D1" w:rsidRPr="00FC377B">
        <w:t>-</w:t>
      </w:r>
      <w:r w:rsidR="00C82FB1" w:rsidRPr="00FC377B">
        <w:t>life, legal/financial, and work place support, the measure includes customers</w:t>
      </w:r>
      <w:r w:rsidRPr="00FC377B">
        <w:t xml:space="preserve"> with the same EAP session model type. </w:t>
      </w:r>
      <w:r w:rsidR="00C82FB1" w:rsidRPr="00FC377B">
        <w:t xml:space="preserve">For these three areas, the Magellan group of customers includes all customers with the specialty service. </w:t>
      </w:r>
      <w:r w:rsidRPr="00FC377B">
        <w:t>Note, at this time, the book of business may include customers of varying size, demographics, industry, and practices for EAP program promotion – all factors which impact how this group of customers compare</w:t>
      </w:r>
      <w:r w:rsidR="00C82FB1" w:rsidRPr="00FC377B">
        <w:t>s</w:t>
      </w:r>
      <w:r w:rsidRPr="00FC377B">
        <w:t xml:space="preserve"> to an individual customer. </w:t>
      </w:r>
    </w:p>
    <w:p w:rsidR="00DF2739" w:rsidRPr="00FC377B" w:rsidRDefault="008916D6">
      <w:pPr>
        <w:rPr>
          <w:b/>
        </w:rPr>
      </w:pPr>
      <w:r>
        <w:rPr>
          <w:b/>
        </w:rPr>
        <w:t>Reporting Periods</w:t>
      </w:r>
    </w:p>
    <w:p w:rsidR="00DF2739" w:rsidRPr="00FC377B" w:rsidRDefault="008916D6">
      <w:r>
        <w:t xml:space="preserve">Graphs are displayed in aggregate form based on the start day of your program’s fiscal year (rather than the ending month of your program’s fiscal year).   </w:t>
      </w:r>
    </w:p>
    <w:p w:rsidR="00AC114C" w:rsidRDefault="00AC114C">
      <w:pPr>
        <w:rPr>
          <w:b/>
        </w:rPr>
      </w:pPr>
      <w:r>
        <w:rPr>
          <w:b/>
        </w:rPr>
        <w:t>Trending</w:t>
      </w:r>
    </w:p>
    <w:p w:rsidR="00AC114C" w:rsidRDefault="00AC114C">
      <w:r w:rsidRPr="00AC114C">
        <w:t>The new report includes a three year comparison of key data points, displayed as annualized per 1,000 calculations</w:t>
      </w:r>
      <w:r>
        <w:t xml:space="preserve"> </w:t>
      </w:r>
      <w:r>
        <w:rPr>
          <w:rFonts w:cs="CenturyGothic-Bold"/>
        </w:rPr>
        <w:t>(average membership * the number of days in the report period)</w:t>
      </w:r>
      <w:r w:rsidRPr="00AC114C">
        <w:t xml:space="preserve"> to allow for trending over time. </w:t>
      </w:r>
    </w:p>
    <w:p w:rsidR="00D517AD" w:rsidRPr="00D517AD" w:rsidRDefault="00D517AD">
      <w:r w:rsidRPr="00D517AD">
        <w:rPr>
          <w:b/>
        </w:rPr>
        <w:t xml:space="preserve">TPT </w:t>
      </w:r>
      <w:r>
        <w:rPr>
          <w:b/>
        </w:rPr>
        <w:t xml:space="preserve">– </w:t>
      </w:r>
      <w:r w:rsidRPr="00D517AD">
        <w:t>Training participants</w:t>
      </w:r>
    </w:p>
    <w:p w:rsidR="00D517AD" w:rsidRPr="00D517AD" w:rsidRDefault="00D517AD">
      <w:r>
        <w:rPr>
          <w:b/>
        </w:rPr>
        <w:t xml:space="preserve">Additional Members present </w:t>
      </w:r>
      <w:r w:rsidRPr="00D517AD">
        <w:t xml:space="preserve">– count of the mmaximum number of people who attended a face to face session with a member. </w:t>
      </w:r>
    </w:p>
    <w:p w:rsidR="00AC114C" w:rsidRDefault="00AC114C">
      <w:pPr>
        <w:rPr>
          <w:b/>
        </w:rPr>
      </w:pPr>
    </w:p>
    <w:p w:rsidR="00A94458" w:rsidRPr="00FC377B" w:rsidRDefault="007A7996">
      <w:pPr>
        <w:rPr>
          <w:b/>
        </w:rPr>
      </w:pPr>
      <w:r w:rsidRPr="00FC377B">
        <w:rPr>
          <w:b/>
        </w:rPr>
        <w:t xml:space="preserve">Core EAP Services – Summary </w:t>
      </w:r>
    </w:p>
    <w:p w:rsidR="00A94458" w:rsidRPr="00FC377B" w:rsidRDefault="00A94458" w:rsidP="00215B90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t>Improvement in Home and Work</w:t>
      </w:r>
    </w:p>
    <w:p w:rsidR="00A94458" w:rsidRPr="00FC377B" w:rsidRDefault="00A94458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  <w:r w:rsidRPr="00FC377B">
        <w:rPr>
          <w:rFonts w:cs="CenturyGothic-Bold"/>
          <w:color w:val="000000"/>
        </w:rPr>
        <w:t>Percent of members reporting Improved or Much Improved ability to function at home or work as indicated by participant survey response.</w:t>
      </w:r>
      <w:r w:rsidR="008130C2" w:rsidRPr="00FC377B">
        <w:rPr>
          <w:rFonts w:cs="CenturyGothic-Bold"/>
          <w:color w:val="000000"/>
        </w:rPr>
        <w:t xml:space="preserve"> Data is included based on receipt of the survey results during the reporting period. Surveys are distributed to</w:t>
      </w:r>
      <w:r w:rsidR="0027753C" w:rsidRPr="00FC377B">
        <w:rPr>
          <w:rFonts w:cs="CenturyGothic-Bold"/>
          <w:color w:val="000000"/>
        </w:rPr>
        <w:t xml:space="preserve"> all EAP registered users via e</w:t>
      </w:r>
      <w:r w:rsidR="008130C2" w:rsidRPr="00FC377B">
        <w:rPr>
          <w:rFonts w:cs="CenturyGothic-Bold"/>
          <w:color w:val="000000"/>
        </w:rPr>
        <w:t xml:space="preserve">mail blast from Magellan, hard copy authorization packet, and surveys submitted via the Magellan website. </w:t>
      </w:r>
    </w:p>
    <w:p w:rsidR="00215B90" w:rsidRDefault="00215B90" w:rsidP="00A94458">
      <w:pPr>
        <w:rPr>
          <w:b/>
          <w:u w:val="single"/>
        </w:rPr>
      </w:pPr>
    </w:p>
    <w:p w:rsidR="00D517AD" w:rsidRDefault="00D517AD" w:rsidP="00A94458">
      <w:pPr>
        <w:rPr>
          <w:b/>
          <w:u w:val="single"/>
        </w:rPr>
      </w:pPr>
    </w:p>
    <w:p w:rsidR="00D517AD" w:rsidRPr="00FC377B" w:rsidRDefault="00D517AD" w:rsidP="00A94458">
      <w:pPr>
        <w:rPr>
          <w:b/>
          <w:u w:val="single"/>
        </w:rPr>
      </w:pPr>
    </w:p>
    <w:p w:rsidR="00A94458" w:rsidRPr="00FC377B" w:rsidRDefault="00A94458" w:rsidP="00215B90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lastRenderedPageBreak/>
        <w:t>Counseling Cases Resolved within EAP</w:t>
      </w:r>
    </w:p>
    <w:p w:rsidR="00876828" w:rsidRPr="00FC377B" w:rsidRDefault="00876828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  <w:r w:rsidRPr="00FC377B">
        <w:rPr>
          <w:rFonts w:cs="CenturyGothic-Bold"/>
          <w:color w:val="000000"/>
        </w:rPr>
        <w:t>Percent of completed counseling cases resolved without referral to benefit covered behavioral health treatment such as outpatient counseling.  Numerator = number of completed counseling cases resolved without benefit covere</w:t>
      </w:r>
      <w:r w:rsidR="0027753C" w:rsidRPr="00FC377B">
        <w:rPr>
          <w:rFonts w:cs="CenturyGothic-Bold"/>
          <w:color w:val="000000"/>
        </w:rPr>
        <w:t>d referral.  Denominator = t</w:t>
      </w:r>
      <w:r w:rsidRPr="00FC377B">
        <w:rPr>
          <w:rFonts w:cs="CenturyGothic-Bold"/>
          <w:color w:val="000000"/>
        </w:rPr>
        <w:t>otal number of counseling cases where resolution was identified</w:t>
      </w:r>
      <w:r w:rsidR="000C0C6D" w:rsidRPr="00FC377B">
        <w:rPr>
          <w:rFonts w:cs="CenturyGothic-Bold"/>
          <w:color w:val="000000"/>
        </w:rPr>
        <w:t>.</w:t>
      </w:r>
    </w:p>
    <w:p w:rsidR="00FC377B" w:rsidRPr="00FC377B" w:rsidRDefault="00FC377B" w:rsidP="00215B90">
      <w:pPr>
        <w:rPr>
          <w:b/>
          <w:u w:val="single"/>
        </w:rPr>
      </w:pPr>
    </w:p>
    <w:p w:rsidR="00876828" w:rsidRPr="00FC377B" w:rsidRDefault="00876828" w:rsidP="00215B90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t>Overall Satisfaction</w:t>
      </w:r>
    </w:p>
    <w:p w:rsidR="008130C2" w:rsidRPr="00FC377B" w:rsidRDefault="00876828" w:rsidP="008130C2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  <w:r w:rsidRPr="00FC377B">
        <w:rPr>
          <w:rFonts w:cs="CenturyGothic-Bold"/>
          <w:color w:val="000000"/>
        </w:rPr>
        <w:t>Percent of positive responses to the Overall Satisfaction question for each program divided by the total number of surveys returned for each program.</w:t>
      </w:r>
      <w:r w:rsidR="008130C2" w:rsidRPr="00FC377B">
        <w:rPr>
          <w:rFonts w:cs="CenturyGothic-Bold"/>
          <w:color w:val="000000"/>
        </w:rPr>
        <w:t xml:space="preserve"> Data is included based on receipt of the survey results during the reporting period. Surveys are distributed to</w:t>
      </w:r>
      <w:r w:rsidR="0027753C" w:rsidRPr="00FC377B">
        <w:rPr>
          <w:rFonts w:cs="CenturyGothic-Bold"/>
          <w:color w:val="000000"/>
        </w:rPr>
        <w:t xml:space="preserve"> all EAP registered users via e</w:t>
      </w:r>
      <w:r w:rsidR="008130C2" w:rsidRPr="00FC377B">
        <w:rPr>
          <w:rFonts w:cs="CenturyGothic-Bold"/>
          <w:color w:val="000000"/>
        </w:rPr>
        <w:t xml:space="preserve">mail blast from Magellan, hard copy authorization packet, and surveys submitted via the Magellan website. </w:t>
      </w:r>
    </w:p>
    <w:p w:rsidR="00876828" w:rsidRPr="00FC377B" w:rsidRDefault="00876828" w:rsidP="00215B90">
      <w:pPr>
        <w:rPr>
          <w:b/>
          <w:u w:val="single"/>
        </w:rPr>
      </w:pPr>
    </w:p>
    <w:p w:rsidR="00876828" w:rsidRPr="00FC377B" w:rsidRDefault="00876828" w:rsidP="00215B90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t>Overall Utilization</w:t>
      </w:r>
    </w:p>
    <w:p w:rsidR="00834BB0" w:rsidRPr="00FC377B" w:rsidRDefault="00834BB0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  <w:r w:rsidRPr="00FC377B">
        <w:rPr>
          <w:rFonts w:cs="CenturyGothic-Bold"/>
          <w:color w:val="000000"/>
        </w:rPr>
        <w:t>Overall Utilization includes the following data points:</w:t>
      </w:r>
    </w:p>
    <w:p w:rsidR="00834BB0" w:rsidRPr="00FC377B" w:rsidRDefault="00834BB0" w:rsidP="00876828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</w:p>
    <w:p w:rsidR="008E6A30" w:rsidRDefault="008E6A30" w:rsidP="00FD2F28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i/>
          <w:color w:val="000000"/>
        </w:rPr>
      </w:pPr>
      <w:r w:rsidRPr="00FC377B">
        <w:rPr>
          <w:rFonts w:cs="CenturyGothic-Bold"/>
          <w:b/>
          <w:i/>
          <w:color w:val="000000"/>
        </w:rPr>
        <w:t>Counseling and Consultations</w:t>
      </w:r>
    </w:p>
    <w:p w:rsidR="00AC114C" w:rsidRPr="00FC377B" w:rsidRDefault="00AC114C" w:rsidP="00FD2F28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i/>
          <w:color w:val="000000"/>
        </w:rPr>
      </w:pPr>
    </w:p>
    <w:p w:rsidR="008E6A30" w:rsidRPr="00FC377B" w:rsidRDefault="008E6A30" w:rsidP="00FD2F28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Count of requests for assistance with emotional, family, relationship or work related issues including counseling cases, supervisor consultations,</w:t>
      </w:r>
      <w:r w:rsidR="0027753C" w:rsidRPr="00FC377B">
        <w:rPr>
          <w:rFonts w:cs="CenturyGothic-Bold"/>
        </w:rPr>
        <w:t xml:space="preserve"> legal/financial cases, work-</w:t>
      </w:r>
      <w:r w:rsidRPr="00FC377B">
        <w:rPr>
          <w:rFonts w:cs="CenturyGothic-Bold"/>
        </w:rPr>
        <w:t>life cases and any other specialty program cases except International.</w:t>
      </w:r>
    </w:p>
    <w:p w:rsidR="008E6A30" w:rsidRPr="00FC377B" w:rsidRDefault="008E6A3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8E6A30" w:rsidRPr="00FC377B" w:rsidRDefault="008E6A3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 xml:space="preserve">Data will be </w:t>
      </w:r>
      <w:r w:rsidR="00834BB0" w:rsidRPr="00FC377B">
        <w:rPr>
          <w:rFonts w:cs="CenturyGothic-Bold"/>
        </w:rPr>
        <w:t xml:space="preserve">displayed as an annualized utilization rate </w:t>
      </w:r>
      <w:r w:rsidR="001A1F5B" w:rsidRPr="00FC377B">
        <w:rPr>
          <w:rFonts w:cs="CenturyGothic-Bold"/>
        </w:rPr>
        <w:t>per 1000</w:t>
      </w:r>
      <w:r w:rsidR="000F6828">
        <w:rPr>
          <w:rFonts w:cs="CenturyGothic-Bold"/>
        </w:rPr>
        <w:t xml:space="preserve"> (average membership * the number of days in the report period) </w:t>
      </w:r>
      <w:r w:rsidR="00834BB0" w:rsidRPr="00FC377B">
        <w:rPr>
          <w:rFonts w:cs="CenturyGothic-Bold"/>
        </w:rPr>
        <w:t>for comparison purposes.</w:t>
      </w:r>
    </w:p>
    <w:p w:rsidR="00834BB0" w:rsidRPr="00FC377B" w:rsidRDefault="00834BB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8E6A30" w:rsidRDefault="008E6A30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i/>
          <w:color w:val="000000"/>
        </w:rPr>
      </w:pPr>
      <w:r w:rsidRPr="00FC377B">
        <w:rPr>
          <w:rFonts w:cs="CenturyGothic-Bold"/>
          <w:b/>
          <w:i/>
          <w:color w:val="000000"/>
        </w:rPr>
        <w:t>Training and CISM</w:t>
      </w:r>
    </w:p>
    <w:p w:rsidR="00AC114C" w:rsidRPr="00FC377B" w:rsidRDefault="00AC114C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i/>
          <w:color w:val="000000"/>
        </w:rPr>
      </w:pPr>
    </w:p>
    <w:p w:rsidR="008E6A30" w:rsidRPr="00FC377B" w:rsidRDefault="008E6A3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  <w:r w:rsidRPr="00FC377B">
        <w:rPr>
          <w:rFonts w:cs="CenturyGothic-Bold"/>
          <w:color w:val="000000"/>
        </w:rPr>
        <w:t>Count of participants attending CISM or Training events.</w:t>
      </w:r>
    </w:p>
    <w:p w:rsidR="00834BB0" w:rsidRPr="00FC377B" w:rsidRDefault="00834BB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</w:p>
    <w:p w:rsidR="00834BB0" w:rsidRPr="00FC377B" w:rsidRDefault="00834BB0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Data will be displayed as an annualized utilization rate for comparison purposes.</w:t>
      </w:r>
    </w:p>
    <w:p w:rsidR="00834BB0" w:rsidRPr="00FC377B" w:rsidRDefault="00834BB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</w:p>
    <w:p w:rsidR="008E6A30" w:rsidRDefault="00834BB0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i/>
          <w:color w:val="000000"/>
        </w:rPr>
      </w:pPr>
      <w:r w:rsidRPr="00FC377B">
        <w:rPr>
          <w:rFonts w:cs="CenturyGothic-Bold"/>
          <w:b/>
          <w:i/>
          <w:color w:val="000000"/>
        </w:rPr>
        <w:t>Website User Sessions</w:t>
      </w:r>
    </w:p>
    <w:p w:rsidR="00AC114C" w:rsidRPr="00FC377B" w:rsidRDefault="00AC114C" w:rsidP="00215B90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i/>
          <w:color w:val="000000"/>
        </w:rPr>
      </w:pPr>
    </w:p>
    <w:p w:rsidR="008E6A30" w:rsidRPr="00FC377B" w:rsidRDefault="00834BB0" w:rsidP="008E6A30">
      <w:pPr>
        <w:autoSpaceDE w:val="0"/>
        <w:autoSpaceDN w:val="0"/>
        <w:adjustRightInd w:val="0"/>
        <w:spacing w:after="0" w:line="240" w:lineRule="auto"/>
        <w:rPr>
          <w:rFonts w:cs="CenturyGothic-Bold"/>
          <w:color w:val="000000"/>
        </w:rPr>
      </w:pPr>
      <w:r w:rsidRPr="00FC377B">
        <w:rPr>
          <w:rFonts w:cs="CenturyGothic-Bold"/>
          <w:color w:val="000000"/>
        </w:rPr>
        <w:t xml:space="preserve">Count of unique user initiated sessions.  </w:t>
      </w:r>
    </w:p>
    <w:p w:rsidR="00876828" w:rsidRPr="00FC377B" w:rsidRDefault="00876828" w:rsidP="00876828">
      <w:pPr>
        <w:autoSpaceDE w:val="0"/>
        <w:autoSpaceDN w:val="0"/>
        <w:adjustRightInd w:val="0"/>
        <w:spacing w:after="0" w:line="240" w:lineRule="auto"/>
        <w:rPr>
          <w:rFonts w:cs="CenturyGothic-Bold"/>
          <w:i/>
          <w:color w:val="000000"/>
        </w:rPr>
      </w:pPr>
    </w:p>
    <w:p w:rsidR="00834BB0" w:rsidRPr="00FC377B" w:rsidRDefault="00834BB0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Data will be displayed as an annualized utilization rate</w:t>
      </w:r>
      <w:r w:rsidR="001A1F5B" w:rsidRPr="00FC377B">
        <w:rPr>
          <w:rFonts w:cs="CenturyGothic-Bold"/>
        </w:rPr>
        <w:t xml:space="preserve"> per 1000</w:t>
      </w:r>
      <w:r w:rsidRPr="00FC377B">
        <w:rPr>
          <w:rFonts w:cs="CenturyGothic-Bold"/>
        </w:rPr>
        <w:t xml:space="preserve"> for comparison purposes.</w:t>
      </w:r>
    </w:p>
    <w:p w:rsidR="00834BB0" w:rsidRPr="00FC377B" w:rsidRDefault="00834BB0" w:rsidP="00215B90">
      <w:pPr>
        <w:rPr>
          <w:b/>
          <w:u w:val="single"/>
        </w:rPr>
      </w:pPr>
    </w:p>
    <w:p w:rsidR="00834BB0" w:rsidRPr="00FC377B" w:rsidRDefault="00834BB0" w:rsidP="00FD2F28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t>Services Accessed as Percent of Total</w:t>
      </w:r>
    </w:p>
    <w:p w:rsidR="00834BB0" w:rsidRPr="00FC377B" w:rsidRDefault="00834BB0" w:rsidP="00FD2F28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Included here is a count of Registered EAP Counseling Cases, Specialty Program Cases, Training Participants, CISM Participants and Web Services.</w:t>
      </w:r>
    </w:p>
    <w:p w:rsidR="00834BB0" w:rsidRPr="00FC377B" w:rsidRDefault="00834BB0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834BB0" w:rsidRPr="00FC377B" w:rsidRDefault="00834BB0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Data will be displayed as a percent of total.</w:t>
      </w:r>
    </w:p>
    <w:p w:rsidR="00AC114C" w:rsidRDefault="00AC114C" w:rsidP="00215B90">
      <w:pPr>
        <w:rPr>
          <w:b/>
          <w:u w:val="single"/>
        </w:rPr>
      </w:pPr>
    </w:p>
    <w:p w:rsidR="00AC114C" w:rsidRPr="00FC377B" w:rsidRDefault="00AC114C" w:rsidP="00215B90">
      <w:pPr>
        <w:rPr>
          <w:b/>
          <w:u w:val="single"/>
        </w:rPr>
      </w:pPr>
    </w:p>
    <w:p w:rsidR="00834BB0" w:rsidRPr="00FC377B" w:rsidRDefault="00834BB0" w:rsidP="00FD2F28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t>Counseling Cases – Top 10 Presenting Issues</w:t>
      </w:r>
    </w:p>
    <w:p w:rsidR="00834BB0" w:rsidRPr="00FC377B" w:rsidRDefault="007A7996" w:rsidP="00FD2F28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Listed here will be a count</w:t>
      </w:r>
      <w:r w:rsidR="0027753C" w:rsidRPr="00FC377B">
        <w:rPr>
          <w:rFonts w:cs="CenturyGothic-Bold"/>
        </w:rPr>
        <w:t xml:space="preserve"> of</w:t>
      </w:r>
      <w:r w:rsidRPr="00FC377B">
        <w:rPr>
          <w:rFonts w:cs="CenturyGothic-Bold"/>
        </w:rPr>
        <w:t xml:space="preserve"> </w:t>
      </w:r>
      <w:r w:rsidR="00834BB0" w:rsidRPr="00FC377B">
        <w:rPr>
          <w:rFonts w:cs="CenturyGothic-Bold"/>
        </w:rPr>
        <w:t>EAP Counseling Case</w:t>
      </w:r>
      <w:r w:rsidR="0027753C" w:rsidRPr="00FC377B">
        <w:rPr>
          <w:rFonts w:cs="CenturyGothic-Bold"/>
        </w:rPr>
        <w:t>s</w:t>
      </w:r>
      <w:r w:rsidR="00834BB0" w:rsidRPr="00FC377B">
        <w:rPr>
          <w:rFonts w:cs="CenturyGothic-Bold"/>
        </w:rPr>
        <w:t xml:space="preserve"> broken out by </w:t>
      </w:r>
      <w:r w:rsidRPr="00FC377B">
        <w:rPr>
          <w:rFonts w:cs="CenturyGothic-Bold"/>
        </w:rPr>
        <w:t>most common problem type.</w:t>
      </w:r>
    </w:p>
    <w:p w:rsidR="001A1F5B" w:rsidRPr="00FC377B" w:rsidRDefault="001A1F5B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7A7996" w:rsidRPr="00FC377B" w:rsidRDefault="007A7996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 xml:space="preserve">Data will be displayed as an annualized utilization rate </w:t>
      </w:r>
      <w:r w:rsidR="001A1F5B" w:rsidRPr="00FC377B">
        <w:rPr>
          <w:rFonts w:cs="CenturyGothic-Bold"/>
        </w:rPr>
        <w:t xml:space="preserve">per 1000 </w:t>
      </w:r>
      <w:r w:rsidRPr="00FC377B">
        <w:rPr>
          <w:rFonts w:cs="CenturyGothic-Bold"/>
        </w:rPr>
        <w:t>for comparison purposes.</w:t>
      </w:r>
    </w:p>
    <w:p w:rsidR="00AC114C" w:rsidRDefault="00AC114C" w:rsidP="00FD2F28">
      <w:pPr>
        <w:spacing w:line="240" w:lineRule="auto"/>
        <w:rPr>
          <w:b/>
          <w:u w:val="single"/>
        </w:rPr>
      </w:pPr>
    </w:p>
    <w:p w:rsidR="007A7996" w:rsidRPr="00FC377B" w:rsidRDefault="007A7996" w:rsidP="00FD2F28">
      <w:pPr>
        <w:spacing w:line="240" w:lineRule="auto"/>
        <w:rPr>
          <w:b/>
          <w:u w:val="single"/>
        </w:rPr>
      </w:pPr>
      <w:r w:rsidRPr="00FC377B">
        <w:rPr>
          <w:b/>
          <w:u w:val="single"/>
        </w:rPr>
        <w:t>Demographics and Referral Source – Top 5</w:t>
      </w:r>
    </w:p>
    <w:p w:rsidR="007A7996" w:rsidRPr="00FC377B" w:rsidRDefault="007A7996" w:rsidP="00FD2F28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Listed here will be a count of Registered EAP Counseling and Consultation Cases broken out by Age</w:t>
      </w:r>
      <w:r w:rsidR="00AC114C">
        <w:rPr>
          <w:rFonts w:cs="CenturyGothic-Bold"/>
        </w:rPr>
        <w:t xml:space="preserve"> (will be included on future reports – data currently not available)</w:t>
      </w:r>
      <w:r w:rsidRPr="00FC377B">
        <w:rPr>
          <w:rFonts w:cs="CenturyGothic-Bold"/>
        </w:rPr>
        <w:t>, Gender, Information Source and Client Category as reported by the participant at the time of intake.</w:t>
      </w:r>
    </w:p>
    <w:p w:rsidR="007A7996" w:rsidRPr="00FC377B" w:rsidRDefault="007A7996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7A7996" w:rsidRPr="00FC377B" w:rsidRDefault="007A7996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  <w:r w:rsidRPr="00FC377B">
        <w:rPr>
          <w:rFonts w:cs="CenturyGothic-Bold"/>
        </w:rPr>
        <w:t>Data will be displayed as a percent of total based on the top 5 categories utilized.  Categories that are not utilized will not be displayed.</w:t>
      </w:r>
    </w:p>
    <w:p w:rsidR="007A7996" w:rsidRPr="00FC377B" w:rsidRDefault="007A7996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7A7996" w:rsidRPr="00FC377B" w:rsidRDefault="007A7996" w:rsidP="00834BB0">
      <w:pPr>
        <w:autoSpaceDE w:val="0"/>
        <w:autoSpaceDN w:val="0"/>
        <w:adjustRightInd w:val="0"/>
        <w:spacing w:after="0" w:line="240" w:lineRule="auto"/>
        <w:rPr>
          <w:rFonts w:cs="CenturyGothic-Bold"/>
        </w:rPr>
      </w:pPr>
    </w:p>
    <w:p w:rsidR="00C22BE9" w:rsidRPr="00FC377B" w:rsidRDefault="00C22BE9" w:rsidP="00C22BE9">
      <w:pPr>
        <w:autoSpaceDE w:val="0"/>
        <w:autoSpaceDN w:val="0"/>
        <w:adjustRightInd w:val="0"/>
        <w:spacing w:after="0" w:line="240" w:lineRule="auto"/>
      </w:pPr>
    </w:p>
    <w:sectPr w:rsidR="00C22BE9" w:rsidRPr="00FC377B" w:rsidSect="00DC118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6D6" w:rsidRDefault="008916D6" w:rsidP="00FC377B">
      <w:pPr>
        <w:spacing w:after="0" w:line="240" w:lineRule="auto"/>
      </w:pPr>
      <w:r>
        <w:separator/>
      </w:r>
    </w:p>
  </w:endnote>
  <w:endnote w:type="continuationSeparator" w:id="0">
    <w:p w:rsidR="008916D6" w:rsidRDefault="008916D6" w:rsidP="00FC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Gothic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D6" w:rsidRDefault="008916D6">
    <w:pPr>
      <w:pStyle w:val="Footer"/>
    </w:pPr>
    <w:r>
      <w:t>Magellan Health Services Report</w:t>
    </w:r>
  </w:p>
  <w:p w:rsidR="008916D6" w:rsidRDefault="008916D6">
    <w:pPr>
      <w:pStyle w:val="Footer"/>
    </w:pPr>
    <w:r>
      <w:t>EAP Glossary</w:t>
    </w:r>
    <w:r>
      <w:tab/>
    </w:r>
    <w:r>
      <w:tab/>
      <w:t xml:space="preserve">Page </w:t>
    </w:r>
    <w:fldSimple w:instr=" PAGE   \* MERGEFORMAT ">
      <w:r w:rsidR="00D517A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6D6" w:rsidRDefault="008916D6" w:rsidP="00FC377B">
      <w:pPr>
        <w:spacing w:after="0" w:line="240" w:lineRule="auto"/>
      </w:pPr>
      <w:r>
        <w:separator/>
      </w:r>
    </w:p>
  </w:footnote>
  <w:footnote w:type="continuationSeparator" w:id="0">
    <w:p w:rsidR="008916D6" w:rsidRDefault="008916D6" w:rsidP="00FC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D6" w:rsidRDefault="008916D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4191000</wp:posOffset>
          </wp:positionH>
          <wp:positionV relativeFrom="paragraph">
            <wp:posOffset>-381000</wp:posOffset>
          </wp:positionV>
          <wp:extent cx="1864360" cy="847725"/>
          <wp:effectExtent l="19050" t="0" r="2540" b="0"/>
          <wp:wrapSquare wrapText="bothSides"/>
          <wp:docPr id="1" name="Picture 0" descr="MHS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S_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436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42D8"/>
    <w:multiLevelType w:val="hybridMultilevel"/>
    <w:tmpl w:val="54BAD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241F0"/>
    <w:multiLevelType w:val="hybridMultilevel"/>
    <w:tmpl w:val="323A5C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D25E1F8C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46A3E"/>
    <w:multiLevelType w:val="hybridMultilevel"/>
    <w:tmpl w:val="1ED0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F49DD"/>
    <w:rsid w:val="00006AF7"/>
    <w:rsid w:val="000263B9"/>
    <w:rsid w:val="00097F57"/>
    <w:rsid w:val="000B63A2"/>
    <w:rsid w:val="000C0C6D"/>
    <w:rsid w:val="000C5A07"/>
    <w:rsid w:val="000D3781"/>
    <w:rsid w:val="000F3EFC"/>
    <w:rsid w:val="000F49DD"/>
    <w:rsid w:val="000F6828"/>
    <w:rsid w:val="000F7053"/>
    <w:rsid w:val="0010241B"/>
    <w:rsid w:val="00127CAD"/>
    <w:rsid w:val="00130264"/>
    <w:rsid w:val="00133E50"/>
    <w:rsid w:val="00175B8A"/>
    <w:rsid w:val="00184E89"/>
    <w:rsid w:val="001A1F5B"/>
    <w:rsid w:val="001B0D1C"/>
    <w:rsid w:val="001D1015"/>
    <w:rsid w:val="00215B90"/>
    <w:rsid w:val="00225650"/>
    <w:rsid w:val="00265B8A"/>
    <w:rsid w:val="002735FD"/>
    <w:rsid w:val="0027753C"/>
    <w:rsid w:val="00293593"/>
    <w:rsid w:val="002B0C95"/>
    <w:rsid w:val="002D3D7D"/>
    <w:rsid w:val="002D522E"/>
    <w:rsid w:val="002F5AD5"/>
    <w:rsid w:val="00304E0D"/>
    <w:rsid w:val="00316D3D"/>
    <w:rsid w:val="003342DD"/>
    <w:rsid w:val="00336758"/>
    <w:rsid w:val="00372277"/>
    <w:rsid w:val="003771A8"/>
    <w:rsid w:val="003A3B60"/>
    <w:rsid w:val="00400321"/>
    <w:rsid w:val="00424ADB"/>
    <w:rsid w:val="0044044A"/>
    <w:rsid w:val="004639E5"/>
    <w:rsid w:val="00464978"/>
    <w:rsid w:val="004727F1"/>
    <w:rsid w:val="0049079A"/>
    <w:rsid w:val="00492AAA"/>
    <w:rsid w:val="004A1945"/>
    <w:rsid w:val="004B055A"/>
    <w:rsid w:val="004E5E03"/>
    <w:rsid w:val="00516396"/>
    <w:rsid w:val="00527452"/>
    <w:rsid w:val="00555F4E"/>
    <w:rsid w:val="005739A8"/>
    <w:rsid w:val="00576AA6"/>
    <w:rsid w:val="00586A5C"/>
    <w:rsid w:val="0059116E"/>
    <w:rsid w:val="00595BC4"/>
    <w:rsid w:val="005A1199"/>
    <w:rsid w:val="005E322D"/>
    <w:rsid w:val="005F2BC4"/>
    <w:rsid w:val="006269FF"/>
    <w:rsid w:val="006406F1"/>
    <w:rsid w:val="006756B2"/>
    <w:rsid w:val="00694B71"/>
    <w:rsid w:val="006A636A"/>
    <w:rsid w:val="006A7732"/>
    <w:rsid w:val="006C5007"/>
    <w:rsid w:val="006C502B"/>
    <w:rsid w:val="006D64EF"/>
    <w:rsid w:val="00702CF0"/>
    <w:rsid w:val="0072100E"/>
    <w:rsid w:val="00734726"/>
    <w:rsid w:val="00734FC9"/>
    <w:rsid w:val="007704A5"/>
    <w:rsid w:val="00780F48"/>
    <w:rsid w:val="007844FB"/>
    <w:rsid w:val="007870B0"/>
    <w:rsid w:val="0079143D"/>
    <w:rsid w:val="00791C56"/>
    <w:rsid w:val="00792F4D"/>
    <w:rsid w:val="007A7996"/>
    <w:rsid w:val="007B1C7E"/>
    <w:rsid w:val="007E62D1"/>
    <w:rsid w:val="00810141"/>
    <w:rsid w:val="00811489"/>
    <w:rsid w:val="008130C2"/>
    <w:rsid w:val="00833802"/>
    <w:rsid w:val="00834BB0"/>
    <w:rsid w:val="008358E7"/>
    <w:rsid w:val="008758D4"/>
    <w:rsid w:val="00876828"/>
    <w:rsid w:val="008916D6"/>
    <w:rsid w:val="00893923"/>
    <w:rsid w:val="008953A0"/>
    <w:rsid w:val="008B1298"/>
    <w:rsid w:val="008C27DD"/>
    <w:rsid w:val="008C6C6A"/>
    <w:rsid w:val="008E6A30"/>
    <w:rsid w:val="0096165C"/>
    <w:rsid w:val="0097133C"/>
    <w:rsid w:val="00996EEB"/>
    <w:rsid w:val="009B79CF"/>
    <w:rsid w:val="009C01B0"/>
    <w:rsid w:val="009F2767"/>
    <w:rsid w:val="009F7AC5"/>
    <w:rsid w:val="00A15501"/>
    <w:rsid w:val="00A37CCE"/>
    <w:rsid w:val="00A94458"/>
    <w:rsid w:val="00AC114C"/>
    <w:rsid w:val="00AC2DCE"/>
    <w:rsid w:val="00B00B68"/>
    <w:rsid w:val="00B37949"/>
    <w:rsid w:val="00B654F4"/>
    <w:rsid w:val="00BA5209"/>
    <w:rsid w:val="00BB7A15"/>
    <w:rsid w:val="00BD6FD9"/>
    <w:rsid w:val="00C04046"/>
    <w:rsid w:val="00C04B71"/>
    <w:rsid w:val="00C22BE9"/>
    <w:rsid w:val="00C27D1B"/>
    <w:rsid w:val="00C4426B"/>
    <w:rsid w:val="00C44B53"/>
    <w:rsid w:val="00C45DC4"/>
    <w:rsid w:val="00C74688"/>
    <w:rsid w:val="00C76253"/>
    <w:rsid w:val="00C77BF6"/>
    <w:rsid w:val="00C82FB1"/>
    <w:rsid w:val="00C964DA"/>
    <w:rsid w:val="00D128B5"/>
    <w:rsid w:val="00D30129"/>
    <w:rsid w:val="00D516F3"/>
    <w:rsid w:val="00D517AD"/>
    <w:rsid w:val="00D54A2D"/>
    <w:rsid w:val="00D6461E"/>
    <w:rsid w:val="00D87BE3"/>
    <w:rsid w:val="00D96C9A"/>
    <w:rsid w:val="00DA06DC"/>
    <w:rsid w:val="00DC1181"/>
    <w:rsid w:val="00DF2739"/>
    <w:rsid w:val="00E4166E"/>
    <w:rsid w:val="00E67B04"/>
    <w:rsid w:val="00E71D62"/>
    <w:rsid w:val="00E7651A"/>
    <w:rsid w:val="00E810D2"/>
    <w:rsid w:val="00EA7D9B"/>
    <w:rsid w:val="00ED5EDF"/>
    <w:rsid w:val="00F4186B"/>
    <w:rsid w:val="00F8160D"/>
    <w:rsid w:val="00FC377B"/>
    <w:rsid w:val="00FD2F28"/>
    <w:rsid w:val="00FE065F"/>
    <w:rsid w:val="00FF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45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F2B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2BC4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7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9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C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77B"/>
  </w:style>
  <w:style w:type="paragraph" w:styleId="Footer">
    <w:name w:val="footer"/>
    <w:basedOn w:val="Normal"/>
    <w:link w:val="FooterChar"/>
    <w:uiPriority w:val="99"/>
    <w:semiHidden/>
    <w:unhideWhenUsed/>
    <w:rsid w:val="00FC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4B67-8DF8-46CD-9688-015380DF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 Services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jlpoiter</dc:creator>
  <cp:keywords/>
  <dc:description/>
  <cp:lastModifiedBy>Magellan User</cp:lastModifiedBy>
  <cp:revision>6</cp:revision>
  <cp:lastPrinted>2011-11-22T18:42:00Z</cp:lastPrinted>
  <dcterms:created xsi:type="dcterms:W3CDTF">2012-03-29T14:27:00Z</dcterms:created>
  <dcterms:modified xsi:type="dcterms:W3CDTF">2012-03-30T15:20:00Z</dcterms:modified>
</cp:coreProperties>
</file>